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DA45E">
      <w:pPr>
        <w:pStyle w:val="2"/>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附件1</w:t>
      </w:r>
      <w:bookmarkStart w:id="3" w:name="_GoBack"/>
      <w:bookmarkEnd w:id="3"/>
    </w:p>
    <w:p w14:paraId="59662904">
      <w:pPr>
        <w:pStyle w:val="7"/>
        <w:ind w:firstLine="0" w:firstLineChars="0"/>
        <w:jc w:val="center"/>
        <w:rPr>
          <w:rFonts w:hint="eastAsia" w:ascii="方正小标宋_GBK" w:hAnsi="方正小标宋_GBK" w:eastAsia="方正小标宋_GBK" w:cs="方正小标宋_GBK"/>
          <w:bCs/>
          <w:color w:val="auto"/>
          <w:sz w:val="44"/>
          <w:szCs w:val="44"/>
          <w:lang w:val="zh-CN" w:eastAsia="zh-CN"/>
        </w:rPr>
      </w:pPr>
      <w:r>
        <w:rPr>
          <w:rFonts w:hint="eastAsia" w:ascii="方正小标宋_GBK" w:hAnsi="方正小标宋_GBK" w:eastAsia="方正小标宋_GBK" w:cs="方正小标宋_GBK"/>
          <w:bCs/>
          <w:color w:val="auto"/>
          <w:sz w:val="44"/>
          <w:szCs w:val="44"/>
          <w:lang w:val="zh-CN" w:eastAsia="zh-CN"/>
        </w:rPr>
        <w:t>湖北港口资本有限公司</w:t>
      </w:r>
      <w:r>
        <w:rPr>
          <w:rFonts w:hint="eastAsia" w:ascii="方正小标宋_GBK" w:hAnsi="方正小标宋_GBK" w:eastAsia="方正小标宋_GBK" w:cs="方正小标宋_GBK"/>
          <w:bCs/>
          <w:color w:val="auto"/>
          <w:sz w:val="44"/>
          <w:szCs w:val="44"/>
          <w:lang w:eastAsia="zh-CN"/>
        </w:rPr>
        <w:t>202</w:t>
      </w:r>
      <w:r>
        <w:rPr>
          <w:rFonts w:hint="eastAsia" w:ascii="方正小标宋_GBK" w:hAnsi="方正小标宋_GBK" w:eastAsia="方正小标宋_GBK" w:cs="方正小标宋_GBK"/>
          <w:bCs/>
          <w:color w:val="auto"/>
          <w:sz w:val="44"/>
          <w:szCs w:val="44"/>
          <w:lang w:val="zh-CN" w:eastAsia="zh-CN"/>
        </w:rPr>
        <w:t>6</w:t>
      </w:r>
      <w:r>
        <w:rPr>
          <w:rFonts w:hint="eastAsia" w:ascii="方正小标宋_GBK" w:hAnsi="方正小标宋_GBK" w:eastAsia="方正小标宋_GBK" w:cs="方正小标宋_GBK"/>
          <w:bCs/>
          <w:color w:val="auto"/>
          <w:sz w:val="44"/>
          <w:szCs w:val="44"/>
          <w:lang w:val="en-US" w:eastAsia="zh-CN"/>
        </w:rPr>
        <w:t>年</w:t>
      </w:r>
      <w:r>
        <w:rPr>
          <w:rFonts w:hint="eastAsia" w:ascii="方正小标宋_GBK" w:hAnsi="方正小标宋_GBK" w:eastAsia="方正小标宋_GBK" w:cs="方正小标宋_GBK"/>
          <w:bCs/>
          <w:color w:val="auto"/>
          <w:sz w:val="44"/>
          <w:szCs w:val="44"/>
          <w:lang w:val="zh-CN" w:eastAsia="zh-CN"/>
        </w:rPr>
        <w:t>中层管理岗位</w:t>
      </w:r>
    </w:p>
    <w:p w14:paraId="47879DFD">
      <w:pPr>
        <w:pStyle w:val="7"/>
        <w:ind w:firstLine="0" w:firstLineChars="0"/>
        <w:jc w:val="center"/>
        <w:rPr>
          <w:rFonts w:hint="eastAsia" w:ascii="仿宋_GB2312" w:hAnsi="仿宋_GB2312" w:eastAsia="仿宋_GB2312" w:cs="仿宋_GB2312"/>
          <w:color w:val="auto"/>
          <w:sz w:val="32"/>
          <w:szCs w:val="32"/>
          <w:lang w:val="zh-CN" w:eastAsia="zh-CN"/>
        </w:rPr>
      </w:pPr>
      <w:r>
        <w:rPr>
          <w:rFonts w:hint="eastAsia" w:ascii="方正小标宋_GBK" w:hAnsi="方正小标宋_GBK" w:eastAsia="方正小标宋_GBK" w:cs="方正小标宋_GBK"/>
          <w:bCs/>
          <w:color w:val="auto"/>
          <w:sz w:val="44"/>
          <w:szCs w:val="44"/>
          <w:lang w:val="en-US" w:eastAsia="zh-CN"/>
        </w:rPr>
        <w:t>岗位</w:t>
      </w:r>
      <w:r>
        <w:rPr>
          <w:rFonts w:hint="eastAsia" w:ascii="方正小标宋_GBK" w:hAnsi="方正小标宋_GBK" w:eastAsia="方正小标宋_GBK" w:cs="方正小标宋_GBK"/>
          <w:bCs/>
          <w:color w:val="auto"/>
          <w:sz w:val="44"/>
          <w:szCs w:val="44"/>
          <w:lang w:val="zh-CN" w:eastAsia="zh-CN"/>
        </w:rPr>
        <w:t>职责及任职资格</w:t>
      </w:r>
    </w:p>
    <w:tbl>
      <w:tblPr>
        <w:tblStyle w:val="8"/>
        <w:tblW w:w="5000" w:type="pct"/>
        <w:tblInd w:w="0" w:type="dxa"/>
        <w:tblLayout w:type="fixed"/>
        <w:tblCellMar>
          <w:top w:w="0" w:type="dxa"/>
          <w:left w:w="108" w:type="dxa"/>
          <w:bottom w:w="0" w:type="dxa"/>
          <w:right w:w="108" w:type="dxa"/>
        </w:tblCellMar>
      </w:tblPr>
      <w:tblGrid>
        <w:gridCol w:w="2310"/>
        <w:gridCol w:w="3851"/>
        <w:gridCol w:w="2900"/>
      </w:tblGrid>
      <w:tr w14:paraId="3E35C85E">
        <w:tblPrEx>
          <w:tblCellMar>
            <w:top w:w="0" w:type="dxa"/>
            <w:left w:w="108" w:type="dxa"/>
            <w:bottom w:w="0" w:type="dxa"/>
            <w:right w:w="108" w:type="dxa"/>
          </w:tblCellMar>
        </w:tblPrEx>
        <w:trPr>
          <w:trHeight w:val="57" w:hRule="atLeast"/>
        </w:trPr>
        <w:tc>
          <w:tcPr>
            <w:tcW w:w="1274" w:type="pct"/>
            <w:tcBorders>
              <w:top w:val="single" w:color="000000" w:sz="4" w:space="0"/>
              <w:left w:val="single" w:color="000000" w:sz="4" w:space="0"/>
              <w:bottom w:val="single" w:color="000000" w:sz="4" w:space="0"/>
              <w:right w:val="single" w:color="000000" w:sz="4" w:space="0"/>
            </w:tcBorders>
            <w:noWrap/>
            <w:vAlign w:val="center"/>
          </w:tcPr>
          <w:p w14:paraId="38C4C5B5">
            <w:pPr>
              <w:spacing w:line="520" w:lineRule="exact"/>
              <w:jc w:val="center"/>
              <w:rPr>
                <w:rFonts w:hint="eastAsia" w:ascii="仿宋_GB2312" w:hAnsi="宋体" w:eastAsia="仿宋_GB2312" w:cs="宋体"/>
                <w:b/>
                <w:bCs/>
                <w:color w:val="auto"/>
              </w:rPr>
            </w:pPr>
            <w:r>
              <w:rPr>
                <w:rFonts w:hint="eastAsia" w:ascii="仿宋_GB2312" w:hAnsi="宋体" w:eastAsia="仿宋_GB2312" w:cs="宋体"/>
                <w:b/>
                <w:bCs/>
                <w:color w:val="auto"/>
              </w:rPr>
              <w:t>招聘岗位</w:t>
            </w:r>
          </w:p>
        </w:tc>
        <w:tc>
          <w:tcPr>
            <w:tcW w:w="2125" w:type="pct"/>
            <w:tcBorders>
              <w:top w:val="single" w:color="000000" w:sz="4" w:space="0"/>
              <w:left w:val="single" w:color="000000" w:sz="4" w:space="0"/>
              <w:bottom w:val="single" w:color="000000" w:sz="4" w:space="0"/>
              <w:right w:val="single" w:color="000000" w:sz="4" w:space="0"/>
            </w:tcBorders>
            <w:vAlign w:val="center"/>
          </w:tcPr>
          <w:p w14:paraId="6FE17F93">
            <w:pPr>
              <w:spacing w:line="520" w:lineRule="exact"/>
              <w:jc w:val="center"/>
              <w:rPr>
                <w:rFonts w:hint="eastAsia" w:ascii="仿宋_GB2312" w:hAnsi="宋体" w:eastAsia="仿宋_GB2312" w:cs="宋体"/>
                <w:b/>
                <w:bCs/>
                <w:color w:val="auto"/>
              </w:rPr>
            </w:pPr>
            <w:r>
              <w:rPr>
                <w:rFonts w:hint="eastAsia" w:ascii="仿宋_GB2312" w:hAnsi="宋体" w:eastAsia="仿宋_GB2312" w:cs="宋体"/>
                <w:b/>
                <w:bCs/>
                <w:color w:val="auto"/>
              </w:rPr>
              <w:t>岗位职责</w:t>
            </w:r>
          </w:p>
        </w:tc>
        <w:tc>
          <w:tcPr>
            <w:tcW w:w="1600" w:type="pct"/>
            <w:tcBorders>
              <w:top w:val="single" w:color="000000" w:sz="4" w:space="0"/>
              <w:left w:val="single" w:color="000000" w:sz="4" w:space="0"/>
              <w:bottom w:val="single" w:color="000000" w:sz="4" w:space="0"/>
              <w:right w:val="single" w:color="000000" w:sz="4" w:space="0"/>
            </w:tcBorders>
            <w:vAlign w:val="center"/>
          </w:tcPr>
          <w:p w14:paraId="38E82DE7">
            <w:pPr>
              <w:spacing w:line="520" w:lineRule="exact"/>
              <w:jc w:val="center"/>
              <w:rPr>
                <w:rFonts w:hint="eastAsia" w:ascii="仿宋_GB2312" w:hAnsi="宋体" w:eastAsia="仿宋_GB2312" w:cs="宋体"/>
                <w:b/>
                <w:bCs/>
                <w:color w:val="auto"/>
              </w:rPr>
            </w:pPr>
            <w:r>
              <w:rPr>
                <w:rFonts w:hint="eastAsia" w:ascii="仿宋_GB2312" w:hAnsi="宋体" w:eastAsia="仿宋_GB2312" w:cs="宋体"/>
                <w:b/>
                <w:bCs/>
                <w:color w:val="auto"/>
              </w:rPr>
              <w:t>任职资格</w:t>
            </w:r>
          </w:p>
        </w:tc>
      </w:tr>
      <w:tr w14:paraId="282A22FD">
        <w:tblPrEx>
          <w:tblCellMar>
            <w:top w:w="0" w:type="dxa"/>
            <w:left w:w="108" w:type="dxa"/>
            <w:bottom w:w="0" w:type="dxa"/>
            <w:right w:w="108" w:type="dxa"/>
          </w:tblCellMar>
        </w:tblPrEx>
        <w:trPr>
          <w:trHeight w:val="4535" w:hRule="atLeast"/>
        </w:trPr>
        <w:tc>
          <w:tcPr>
            <w:tcW w:w="1274" w:type="pct"/>
            <w:tcBorders>
              <w:top w:val="single" w:color="000000" w:sz="4" w:space="0"/>
              <w:left w:val="single" w:color="000000" w:sz="4" w:space="0"/>
              <w:bottom w:val="single" w:color="000000" w:sz="4" w:space="0"/>
              <w:right w:val="single" w:color="000000" w:sz="4" w:space="0"/>
            </w:tcBorders>
            <w:noWrap/>
            <w:vAlign w:val="center"/>
          </w:tcPr>
          <w:p w14:paraId="305482A2">
            <w:pPr>
              <w:jc w:val="center"/>
              <w:rPr>
                <w:rFonts w:hint="eastAsia" w:ascii="仿宋_GB2312" w:hAnsi="宋体" w:eastAsia="仿宋_GB2312" w:cs="宋体"/>
                <w:snapToGrid/>
                <w:color w:val="auto"/>
                <w:sz w:val="22"/>
                <w:szCs w:val="22"/>
                <w:lang w:eastAsia="zh-CN"/>
              </w:rPr>
            </w:pPr>
            <w:r>
              <w:rPr>
                <w:rFonts w:hint="eastAsia" w:ascii="仿宋_GB2312" w:hAnsi="宋体" w:eastAsia="仿宋_GB2312" w:cs="宋体"/>
                <w:color w:val="auto"/>
                <w:sz w:val="22"/>
                <w:szCs w:val="22"/>
              </w:rPr>
              <w:t>经营管理部</w:t>
            </w:r>
          </w:p>
          <w:p w14:paraId="35245B71">
            <w:pPr>
              <w:jc w:val="center"/>
              <w:rPr>
                <w:rFonts w:hint="eastAsia" w:ascii="仿宋_GB2312" w:hAnsi="宋体" w:eastAsia="仿宋_GB2312" w:cs="宋体"/>
                <w:color w:val="auto"/>
                <w:sz w:val="22"/>
                <w:szCs w:val="22"/>
                <w:lang w:eastAsia="zh-CN"/>
              </w:rPr>
            </w:pPr>
            <w:r>
              <w:rPr>
                <w:rFonts w:hint="eastAsia" w:ascii="仿宋_GB2312" w:hAnsi="宋体" w:eastAsia="仿宋_GB2312" w:cs="宋体"/>
                <w:color w:val="auto"/>
                <w:sz w:val="22"/>
                <w:szCs w:val="22"/>
              </w:rPr>
              <w:t>副总经理</w:t>
            </w:r>
          </w:p>
        </w:tc>
        <w:tc>
          <w:tcPr>
            <w:tcW w:w="2125" w:type="pct"/>
            <w:tcBorders>
              <w:top w:val="single" w:color="000000" w:sz="4" w:space="0"/>
              <w:left w:val="single" w:color="000000" w:sz="4" w:space="0"/>
              <w:bottom w:val="single" w:color="000000" w:sz="4" w:space="0"/>
              <w:right w:val="single" w:color="000000" w:sz="4" w:space="0"/>
            </w:tcBorders>
            <w:vAlign w:val="center"/>
          </w:tcPr>
          <w:p w14:paraId="4ED4C8AE">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1.负责拟订公司中长期、总体工作任务目标，研究拟订公司年度经营计划，协助公司经营层制定公司战略，明确战略目标和实施路径，完成公司内部宣贯。</w:t>
            </w:r>
          </w:p>
          <w:p w14:paraId="542391C1">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2.负责对接集团内部相关职能部门以及区、市、省地方金融监管局等行业监管机构，负责监管系统数据报送，组织配合监管机构现场检查等工作。</w:t>
            </w:r>
          </w:p>
          <w:p w14:paraId="739B6B15">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3.负责企业经营绩效管理等相关制度体系的建设和持续优化；负责公司经营管理全流程工作；负责公司各部门及出资企业的业绩考核工作。</w:t>
            </w:r>
          </w:p>
          <w:p w14:paraId="2C67F9E5">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4.负责公司经营情况的数据统计、分析和应用，负责编制相关经营分析报告，为管理层决策提供支持。</w:t>
            </w:r>
          </w:p>
          <w:p w14:paraId="2BEA8402">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5.负责公司业务的全流程管理，组织公司业务项目的上会工作，协助业务部门完成相关决策流程。</w:t>
            </w:r>
          </w:p>
          <w:p w14:paraId="5ED714F2">
            <w:pPr>
              <w:kinsoku/>
              <w:jc w:val="both"/>
              <w:rPr>
                <w:rFonts w:hint="eastAsia" w:ascii="仿宋_GB2312" w:hAnsi="宋体" w:eastAsia="仿宋_GB2312" w:cs="宋体"/>
                <w:color w:val="auto"/>
                <w:lang w:eastAsia="zh-CN"/>
              </w:rPr>
            </w:pPr>
            <w:r>
              <w:rPr>
                <w:rFonts w:hint="eastAsia" w:ascii="仿宋_GB2312" w:hAnsi="宋体" w:eastAsia="仿宋_GB2312" w:cs="宋体"/>
                <w:color w:val="auto"/>
                <w:lang w:eastAsia="zh-CN"/>
              </w:rPr>
              <w:t>6.完成领导交办的其他工作。</w:t>
            </w:r>
          </w:p>
        </w:tc>
        <w:tc>
          <w:tcPr>
            <w:tcW w:w="1600" w:type="pct"/>
            <w:tcBorders>
              <w:top w:val="single" w:color="000000" w:sz="4" w:space="0"/>
              <w:left w:val="single" w:color="000000" w:sz="4" w:space="0"/>
              <w:bottom w:val="single" w:color="000000" w:sz="4" w:space="0"/>
              <w:right w:val="single" w:color="000000" w:sz="4" w:space="0"/>
            </w:tcBorders>
            <w:vAlign w:val="center"/>
          </w:tcPr>
          <w:p w14:paraId="7C4B680B">
            <w:pPr>
              <w:ind w:left="2" w:hanging="23"/>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1.年龄</w:t>
            </w:r>
            <w:r>
              <w:rPr>
                <w:rFonts w:hint="eastAsia" w:ascii="仿宋_GB2312" w:hAnsi="宋体" w:eastAsia="仿宋_GB2312" w:cs="宋体"/>
                <w:color w:val="auto"/>
                <w:lang w:eastAsia="zh-CN"/>
              </w:rPr>
              <w:t>45周岁及以下，全日制</w:t>
            </w:r>
            <w:r>
              <w:rPr>
                <w:rFonts w:hint="eastAsia" w:ascii="仿宋_GB2312" w:hAnsi="楷体_GB2312" w:eastAsia="仿宋_GB2312" w:cs="楷体_GB2312"/>
                <w:color w:val="auto"/>
                <w:lang w:eastAsia="zh-CN"/>
              </w:rPr>
              <w:t>本科及以上学历，经济学、金融学、财务管理等相关专业；</w:t>
            </w:r>
          </w:p>
          <w:p w14:paraId="73E36FEB">
            <w:pPr>
              <w:ind w:left="2" w:hanging="23"/>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2.具有3年及以上大型国有企业、金融机构或地方金控平台相关</w:t>
            </w:r>
            <w:bookmarkStart w:id="0" w:name="OLE_LINK10"/>
            <w:r>
              <w:rPr>
                <w:rFonts w:hint="eastAsia" w:ascii="仿宋_GB2312" w:hAnsi="楷体_GB2312" w:eastAsia="仿宋_GB2312" w:cs="楷体_GB2312"/>
                <w:color w:val="auto"/>
                <w:lang w:eastAsia="zh-CN"/>
              </w:rPr>
              <w:t>管理</w:t>
            </w:r>
            <w:bookmarkEnd w:id="0"/>
            <w:r>
              <w:rPr>
                <w:rFonts w:hint="eastAsia" w:ascii="仿宋_GB2312" w:hAnsi="楷体_GB2312" w:eastAsia="仿宋_GB2312" w:cs="楷体_GB2312"/>
                <w:color w:val="auto"/>
                <w:lang w:eastAsia="zh-CN"/>
              </w:rPr>
              <w:t>经验；拥有保理、融资租赁、供应链金融、基金等相关工作经验者优先；</w:t>
            </w:r>
          </w:p>
          <w:p w14:paraId="7749895F">
            <w:pPr>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3.具备岗位相关职称或职业资格，持有</w:t>
            </w:r>
            <w:r>
              <w:rPr>
                <w:rFonts w:hint="eastAsia" w:ascii="仿宋_GB2312" w:hAnsi="华文仿宋" w:eastAsia="仿宋_GB2312"/>
                <w:bCs/>
                <w:color w:val="auto"/>
                <w:lang w:eastAsia="zh-CN"/>
              </w:rPr>
              <w:t>注册会计师（CPA）证书者优先；</w:t>
            </w:r>
          </w:p>
          <w:p w14:paraId="5B27FD38">
            <w:pPr>
              <w:kinsoku/>
              <w:ind w:left="2" w:hanging="23"/>
              <w:jc w:val="both"/>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4.熟悉企业管理等知识，具备良好的公文写作等专业基础；具备出色的组织协调和统筹规划能力，解决复杂问题，确保各项工作高效推进；具有团队管理经验，带领团队完成部门目标，推动部门建设与持续改进。</w:t>
            </w:r>
          </w:p>
        </w:tc>
      </w:tr>
      <w:tr w14:paraId="29D83FEC">
        <w:tblPrEx>
          <w:tblCellMar>
            <w:top w:w="0" w:type="dxa"/>
            <w:left w:w="108" w:type="dxa"/>
            <w:bottom w:w="0" w:type="dxa"/>
            <w:right w:w="108" w:type="dxa"/>
          </w:tblCellMar>
        </w:tblPrEx>
        <w:trPr>
          <w:trHeight w:val="1124" w:hRule="atLeast"/>
        </w:trPr>
        <w:tc>
          <w:tcPr>
            <w:tcW w:w="1274" w:type="pct"/>
            <w:tcBorders>
              <w:top w:val="single" w:color="000000" w:sz="4" w:space="0"/>
              <w:left w:val="single" w:color="000000" w:sz="4" w:space="0"/>
              <w:bottom w:val="single" w:color="000000" w:sz="4" w:space="0"/>
              <w:right w:val="single" w:color="000000" w:sz="4" w:space="0"/>
            </w:tcBorders>
            <w:noWrap/>
            <w:vAlign w:val="center"/>
          </w:tcPr>
          <w:p w14:paraId="738D0EFC">
            <w:pPr>
              <w:jc w:val="center"/>
              <w:rPr>
                <w:rFonts w:hint="eastAsia" w:ascii="仿宋_GB2312" w:hAnsi="宋体" w:eastAsia="仿宋_GB2312" w:cs="宋体"/>
                <w:color w:val="auto"/>
                <w:sz w:val="22"/>
                <w:szCs w:val="22"/>
                <w:lang w:eastAsia="zh-CN"/>
              </w:rPr>
            </w:pPr>
            <w:r>
              <w:rPr>
                <w:rFonts w:hint="eastAsia" w:ascii="仿宋_GB2312" w:hAnsi="宋体" w:eastAsia="仿宋_GB2312" w:cs="宋体"/>
                <w:color w:val="auto"/>
                <w:sz w:val="22"/>
                <w:szCs w:val="22"/>
                <w:lang w:eastAsia="zh-CN"/>
              </w:rPr>
              <w:t>经营管理部</w:t>
            </w:r>
          </w:p>
          <w:p w14:paraId="0584D9E7">
            <w:pPr>
              <w:jc w:val="center"/>
              <w:rPr>
                <w:rFonts w:hint="eastAsia" w:ascii="仿宋_GB2312" w:hAnsi="宋体" w:eastAsia="仿宋_GB2312" w:cs="宋体"/>
                <w:color w:val="auto"/>
                <w:sz w:val="22"/>
                <w:szCs w:val="22"/>
                <w:lang w:eastAsia="zh-CN"/>
              </w:rPr>
            </w:pPr>
            <w:r>
              <w:rPr>
                <w:rFonts w:hint="eastAsia" w:ascii="仿宋_GB2312" w:hAnsi="宋体" w:eastAsia="仿宋_GB2312" w:cs="宋体"/>
                <w:color w:val="auto"/>
                <w:sz w:val="22"/>
                <w:szCs w:val="22"/>
                <w:lang w:eastAsia="zh-CN"/>
              </w:rPr>
              <w:t>副总经理</w:t>
            </w:r>
          </w:p>
          <w:p w14:paraId="54A82C3D">
            <w:pPr>
              <w:jc w:val="center"/>
              <w:rPr>
                <w:rFonts w:hint="eastAsia" w:ascii="仿宋_GB2312" w:hAnsi="宋体" w:eastAsia="仿宋_GB2312" w:cs="宋体"/>
                <w:color w:val="auto"/>
                <w:sz w:val="22"/>
                <w:szCs w:val="22"/>
                <w:lang w:eastAsia="zh-CN"/>
              </w:rPr>
            </w:pPr>
            <w:r>
              <w:rPr>
                <w:rFonts w:hint="eastAsia" w:ascii="仿宋_GB2312" w:hAnsi="宋体" w:eastAsia="仿宋_GB2312" w:cs="宋体"/>
                <w:color w:val="auto"/>
                <w:sz w:val="22"/>
                <w:szCs w:val="22"/>
                <w:lang w:eastAsia="zh-CN"/>
              </w:rPr>
              <w:t>（投资方向）</w:t>
            </w:r>
          </w:p>
        </w:tc>
        <w:tc>
          <w:tcPr>
            <w:tcW w:w="2125" w:type="pct"/>
            <w:tcBorders>
              <w:top w:val="single" w:color="000000" w:sz="4" w:space="0"/>
              <w:left w:val="single" w:color="000000" w:sz="4" w:space="0"/>
              <w:bottom w:val="single" w:color="000000" w:sz="4" w:space="0"/>
              <w:right w:val="single" w:color="000000" w:sz="4" w:space="0"/>
            </w:tcBorders>
            <w:vAlign w:val="center"/>
          </w:tcPr>
          <w:p w14:paraId="52B5F846">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1.负责建立和优化投资管理体系、业务流程和各项管理制度，参与制定和监督落实资本运作、收并</w:t>
            </w:r>
          </w:p>
          <w:p w14:paraId="2A0286A6">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购、市值管理等方面规章制度、业务流程及操作指导；</w:t>
            </w:r>
          </w:p>
          <w:p w14:paraId="3DF45364">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2.负责公司资本运作、收并购和市值管理等业务，制定投资策略，组织中介机构实施；</w:t>
            </w:r>
          </w:p>
          <w:p w14:paraId="612FE8EF">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3.负责资本运作、收并购和市值管理等业务全流程管理；负责推进各类项目专业化决策；管控各类</w:t>
            </w:r>
          </w:p>
          <w:p w14:paraId="06080F37">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项目重大投资风险；负责相关在资本公司层面决策的全流程管控；对接集团公司层面决策流程；负</w:t>
            </w:r>
          </w:p>
          <w:p w14:paraId="7E3C6427">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责投资业务台账、数据汇总、经营情况分析及业务规划等事项；</w:t>
            </w:r>
          </w:p>
          <w:p w14:paraId="6DDB2EB1">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4.负责内外部关系管理，包括与投资者、被投资企业、相关机构、地方政府等的对接与关系维护；</w:t>
            </w:r>
          </w:p>
          <w:p w14:paraId="0C9B2654">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5.负责宏观政策、监管规定和产业资本同业动态等进行信息收集和研究分析；</w:t>
            </w:r>
          </w:p>
          <w:p w14:paraId="371A18E4">
            <w:pPr>
              <w:kinsoku/>
              <w:jc w:val="both"/>
              <w:rPr>
                <w:rFonts w:hint="eastAsia" w:ascii="仿宋_GB2312" w:hAnsi="宋体" w:eastAsia="仿宋_GB2312" w:cs="宋体"/>
                <w:color w:val="auto"/>
                <w:lang w:eastAsia="zh-CN"/>
              </w:rPr>
            </w:pPr>
            <w:r>
              <w:rPr>
                <w:rFonts w:hint="eastAsia" w:ascii="仿宋_GB2312" w:hAnsi="宋体" w:eastAsia="仿宋_GB2312" w:cs="宋体"/>
                <w:color w:val="auto"/>
                <w:lang w:eastAsia="zh-CN"/>
              </w:rPr>
              <w:t>6.完成上级和领导交办的其他工作。</w:t>
            </w:r>
          </w:p>
        </w:tc>
        <w:tc>
          <w:tcPr>
            <w:tcW w:w="1600" w:type="pct"/>
            <w:tcBorders>
              <w:top w:val="single" w:color="000000" w:sz="4" w:space="0"/>
              <w:left w:val="single" w:color="000000" w:sz="4" w:space="0"/>
              <w:bottom w:val="single" w:color="000000" w:sz="4" w:space="0"/>
              <w:right w:val="single" w:color="000000" w:sz="4" w:space="0"/>
            </w:tcBorders>
            <w:vAlign w:val="center"/>
          </w:tcPr>
          <w:p w14:paraId="7F39BB64">
            <w:pPr>
              <w:ind w:left="2" w:hanging="23"/>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1.年龄</w:t>
            </w:r>
            <w:r>
              <w:rPr>
                <w:rFonts w:hint="eastAsia" w:ascii="仿宋_GB2312" w:hAnsi="宋体" w:eastAsia="仿宋_GB2312" w:cs="宋体"/>
                <w:color w:val="auto"/>
                <w:lang w:eastAsia="zh-CN"/>
              </w:rPr>
              <w:t>45周岁及以下</w:t>
            </w:r>
            <w:r>
              <w:rPr>
                <w:rFonts w:hint="eastAsia" w:ascii="仿宋_GB2312" w:hAnsi="楷体_GB2312" w:eastAsia="仿宋_GB2312" w:cs="楷体_GB2312"/>
                <w:color w:val="auto"/>
                <w:lang w:eastAsia="zh-CN"/>
              </w:rPr>
              <w:t>，全日制本科及以上学历，经济学、法学、金融学、财务管理等相关专业；</w:t>
            </w:r>
          </w:p>
          <w:p w14:paraId="64D6DFFD">
            <w:pPr>
              <w:ind w:left="2" w:hanging="23"/>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2.具有3年及以上大型国有企业、知名投资机构、券商投行或地方金控平台相关管理经验；熟悉资本运作、收并购、市值管理、产业投资等完整投资项目经验者优先；</w:t>
            </w:r>
          </w:p>
          <w:p w14:paraId="225BE612">
            <w:pPr>
              <w:ind w:left="2" w:hanging="23"/>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3.持有特许金融分析师（CFA）、注册会计师（CPA）、保荐代表人或法律职业资格证书者优先；</w:t>
            </w:r>
          </w:p>
          <w:p w14:paraId="3A960F5D">
            <w:pPr>
              <w:kinsoku/>
              <w:ind w:left="2" w:hanging="23"/>
              <w:jc w:val="both"/>
              <w:rPr>
                <w:rFonts w:hint="eastAsia" w:ascii="仿宋_GB2312" w:hAnsi="楷体_GB2312" w:eastAsia="仿宋_GB2312" w:cs="楷体_GB2312"/>
                <w:color w:val="auto"/>
                <w:lang w:eastAsia="zh-CN"/>
              </w:rPr>
            </w:pPr>
            <w:r>
              <w:rPr>
                <w:rFonts w:hint="eastAsia" w:ascii="仿宋_GB2312" w:hAnsi="楷体_GB2312" w:eastAsia="仿宋_GB2312" w:cs="楷体_GB2312"/>
                <w:color w:val="auto"/>
                <w:lang w:eastAsia="zh-CN"/>
              </w:rPr>
              <w:t>4.具有较强的团队协作、组织协调、文字表达能力；能够适应高强度工作，可以接受不定期出差。</w:t>
            </w:r>
          </w:p>
        </w:tc>
      </w:tr>
      <w:tr w14:paraId="0FA5049A">
        <w:tblPrEx>
          <w:tblCellMar>
            <w:top w:w="0" w:type="dxa"/>
            <w:left w:w="108" w:type="dxa"/>
            <w:bottom w:w="0" w:type="dxa"/>
            <w:right w:w="108" w:type="dxa"/>
          </w:tblCellMar>
        </w:tblPrEx>
        <w:trPr>
          <w:trHeight w:val="4535" w:hRule="atLeast"/>
        </w:trPr>
        <w:tc>
          <w:tcPr>
            <w:tcW w:w="1274" w:type="pct"/>
            <w:tcBorders>
              <w:top w:val="single" w:color="000000" w:sz="4" w:space="0"/>
              <w:left w:val="single" w:color="000000" w:sz="4" w:space="0"/>
              <w:bottom w:val="single" w:color="000000" w:sz="4" w:space="0"/>
              <w:right w:val="single" w:color="000000" w:sz="4" w:space="0"/>
            </w:tcBorders>
            <w:vAlign w:val="center"/>
          </w:tcPr>
          <w:p w14:paraId="6819121B">
            <w:pPr>
              <w:jc w:val="center"/>
              <w:rPr>
                <w:rFonts w:hint="default" w:ascii="仿宋_GB2312" w:hAnsi="宋体" w:eastAsia="仿宋_GB2312" w:cs="宋体"/>
                <w:color w:val="auto"/>
                <w:sz w:val="22"/>
                <w:szCs w:val="22"/>
                <w:lang w:val="en-US" w:eastAsia="zh-CN"/>
              </w:rPr>
            </w:pPr>
            <w:r>
              <w:rPr>
                <w:rFonts w:hint="eastAsia" w:ascii="仿宋_GB2312" w:hAnsi="宋体" w:eastAsia="仿宋_GB2312" w:cs="宋体"/>
                <w:color w:val="auto"/>
                <w:lang w:eastAsia="zh-CN"/>
              </w:rPr>
              <w:t>资本公司风控法务部（审计方向）</w:t>
            </w:r>
            <w:r>
              <w:rPr>
                <w:rFonts w:hint="eastAsia" w:ascii="仿宋_GB2312" w:hAnsi="宋体" w:eastAsia="仿宋_GB2312" w:cs="宋体"/>
                <w:color w:val="auto"/>
                <w:lang w:val="en-US" w:eastAsia="zh-CN"/>
              </w:rPr>
              <w:t>副总经理</w:t>
            </w:r>
          </w:p>
        </w:tc>
        <w:tc>
          <w:tcPr>
            <w:tcW w:w="2125" w:type="pct"/>
            <w:tcBorders>
              <w:top w:val="single" w:color="000000" w:sz="4" w:space="0"/>
              <w:left w:val="single" w:color="000000" w:sz="4" w:space="0"/>
              <w:bottom w:val="single" w:color="000000" w:sz="4" w:space="0"/>
              <w:right w:val="single" w:color="000000" w:sz="4" w:space="0"/>
            </w:tcBorders>
            <w:vAlign w:val="center"/>
          </w:tcPr>
          <w:p w14:paraId="24D879B1">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1.协助制定和完善企业内部审计管理制度、工作程序和流程，经批准后实施并监督执行；</w:t>
            </w:r>
          </w:p>
          <w:p w14:paraId="1FC133A6">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2.协助国家政策与上级单位重要决策部署的督导、检查；</w:t>
            </w:r>
          </w:p>
          <w:p w14:paraId="51E7318F">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3.根据企业战略、综合计划、风险状况和管理需要，协助拟订企业年度审计工作计划，经批准后组织实施并监督执行；</w:t>
            </w:r>
          </w:p>
          <w:p w14:paraId="2D651504">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 xml:space="preserve">4.协助组织对企业本部及下属子公司开展财务收支、年度财务报表、经济效益、经济责任等各类内审工作，并根据审计结果跟踪监督整改； </w:t>
            </w:r>
          </w:p>
          <w:p w14:paraId="19E3FAAB">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 xml:space="preserve">5.协助对企业系统内经济责任单位开展各类专项审计或调查； </w:t>
            </w:r>
          </w:p>
          <w:p w14:paraId="5A143F25">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 xml:space="preserve">6.协助对企业本部和下属公司开展内部控制审计，对其内部控制设计、运行以及风险管理的有效性进行审查和评价； </w:t>
            </w:r>
          </w:p>
          <w:p w14:paraId="55C76427">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 xml:space="preserve">7.协助配合上级或其他相关业务单位对涉及企业系统的审计项目进行的各类审计，以及其他相关审计业务的沟通、协调工作； </w:t>
            </w:r>
          </w:p>
          <w:p w14:paraId="5D5A13B8">
            <w:pPr>
              <w:kinsoku/>
              <w:jc w:val="both"/>
              <w:rPr>
                <w:rFonts w:hint="eastAsia" w:ascii="仿宋_GB2312" w:hAnsi="宋体" w:eastAsia="仿宋_GB2312" w:cs="宋体"/>
                <w:color w:val="auto"/>
                <w:lang w:eastAsia="zh-CN"/>
              </w:rPr>
            </w:pPr>
            <w:r>
              <w:rPr>
                <w:rFonts w:hint="eastAsia" w:ascii="仿宋_GB2312" w:hAnsi="宋体" w:eastAsia="仿宋_GB2312" w:cs="宋体"/>
                <w:color w:val="auto"/>
                <w:lang w:eastAsia="zh-CN"/>
              </w:rPr>
              <w:t>8.完成上级和领导交办的其他工作。</w:t>
            </w:r>
          </w:p>
        </w:tc>
        <w:tc>
          <w:tcPr>
            <w:tcW w:w="1600" w:type="pct"/>
            <w:tcBorders>
              <w:top w:val="single" w:color="000000" w:sz="4" w:space="0"/>
              <w:left w:val="single" w:color="000000" w:sz="4" w:space="0"/>
              <w:bottom w:val="single" w:color="000000" w:sz="4" w:space="0"/>
              <w:right w:val="single" w:color="000000" w:sz="4" w:space="0"/>
            </w:tcBorders>
            <w:vAlign w:val="center"/>
          </w:tcPr>
          <w:p w14:paraId="63B354BB">
            <w:pPr>
              <w:spacing w:line="300" w:lineRule="exact"/>
              <w:rPr>
                <w:rFonts w:hint="eastAsia" w:ascii="仿宋_GB2312" w:hAnsi="宋体" w:eastAsia="仿宋_GB2312" w:cs="宋体"/>
                <w:color w:val="auto"/>
                <w:lang w:eastAsia="zh-CN"/>
              </w:rPr>
            </w:pPr>
            <w:r>
              <w:rPr>
                <w:rFonts w:hint="eastAsia" w:ascii="仿宋_GB2312" w:hAnsi="宋体" w:eastAsia="仿宋_GB2312" w:cs="宋体"/>
                <w:color w:val="auto"/>
                <w:lang w:eastAsia="zh-CN"/>
              </w:rPr>
              <w:t>1.年龄45周岁及以下，全日制本科及以上学历，金融学、经济学、会计学、财务管理</w:t>
            </w:r>
            <w:bookmarkStart w:id="1" w:name="OLE_LINK13"/>
            <w:r>
              <w:rPr>
                <w:rFonts w:hint="eastAsia" w:ascii="仿宋_GB2312" w:hAnsi="宋体" w:eastAsia="仿宋_GB2312" w:cs="宋体"/>
                <w:color w:val="auto"/>
                <w:lang w:eastAsia="zh-CN"/>
              </w:rPr>
              <w:t>等相关</w:t>
            </w:r>
            <w:bookmarkEnd w:id="1"/>
            <w:r>
              <w:rPr>
                <w:rFonts w:hint="eastAsia" w:ascii="仿宋_GB2312" w:hAnsi="宋体" w:eastAsia="仿宋_GB2312" w:cs="宋体"/>
                <w:color w:val="auto"/>
                <w:lang w:eastAsia="zh-CN"/>
              </w:rPr>
              <w:t>专业；</w:t>
            </w:r>
          </w:p>
          <w:p w14:paraId="71C6706F">
            <w:pPr>
              <w:spacing w:line="300" w:lineRule="exact"/>
              <w:rPr>
                <w:rFonts w:hint="eastAsia" w:ascii="仿宋_GB2312" w:hAnsi="宋体" w:eastAsia="仿宋_GB2312" w:cs="宋体"/>
                <w:color w:val="auto"/>
                <w:lang w:eastAsia="zh-CN"/>
              </w:rPr>
            </w:pPr>
            <w:r>
              <w:rPr>
                <w:rFonts w:hint="eastAsia" w:ascii="仿宋_GB2312" w:hAnsi="宋体" w:eastAsia="仿宋_GB2312" w:cs="宋体"/>
                <w:color w:val="auto"/>
                <w:lang w:eastAsia="zh-CN"/>
              </w:rPr>
              <w:t>2.具有3年及以上国有企业审计等相关管理经验，熟悉类金融业务的运营模式及风险点；</w:t>
            </w:r>
          </w:p>
          <w:p w14:paraId="64D43EBE">
            <w:pPr>
              <w:spacing w:line="300" w:lineRule="exact"/>
              <w:rPr>
                <w:rFonts w:hint="eastAsia" w:ascii="仿宋_GB2312" w:hAnsi="宋体" w:eastAsia="仿宋_GB2312" w:cs="宋体"/>
                <w:color w:val="auto"/>
                <w:lang w:eastAsia="zh-CN"/>
              </w:rPr>
            </w:pPr>
            <w:r>
              <w:rPr>
                <w:rFonts w:hint="eastAsia" w:ascii="仿宋_GB2312" w:hAnsi="宋体" w:eastAsia="仿宋_GB2312" w:cs="宋体"/>
                <w:color w:val="auto"/>
                <w:lang w:eastAsia="zh-CN"/>
              </w:rPr>
              <w:t>3.持有注册会计师（CPA）、特许金融分析师（CFA）、金融风险管理师（FRM）、审计师者优先；</w:t>
            </w:r>
          </w:p>
          <w:p w14:paraId="3D77F8EF">
            <w:pPr>
              <w:ind w:left="2" w:hanging="23"/>
              <w:rPr>
                <w:rFonts w:hint="eastAsia" w:ascii="仿宋_GB2312" w:hAnsi="宋体" w:eastAsia="仿宋_GB2312" w:cs="宋体"/>
                <w:color w:val="auto"/>
                <w:lang w:eastAsia="zh-CN"/>
              </w:rPr>
            </w:pPr>
            <w:r>
              <w:rPr>
                <w:rFonts w:hint="eastAsia" w:ascii="仿宋_GB2312" w:hAnsi="宋体" w:eastAsia="仿宋_GB2312" w:cs="宋体"/>
                <w:color w:val="auto"/>
                <w:lang w:eastAsia="zh-CN"/>
              </w:rPr>
              <w:t>4.具有较强的团队协作、组织协调、文字表达能力；能够适应高强度工作，可以接受不定期出差。</w:t>
            </w:r>
          </w:p>
          <w:p w14:paraId="3E95B09B">
            <w:pPr>
              <w:kinsoku/>
              <w:jc w:val="both"/>
              <w:rPr>
                <w:rFonts w:hint="eastAsia" w:ascii="仿宋_GB2312" w:hAnsi="宋体" w:eastAsia="仿宋_GB2312" w:cs="宋体"/>
                <w:color w:val="auto"/>
                <w:lang w:eastAsia="zh-CN"/>
              </w:rPr>
            </w:pPr>
          </w:p>
        </w:tc>
      </w:tr>
      <w:tr w14:paraId="6E3F46BE">
        <w:tblPrEx>
          <w:tblCellMar>
            <w:top w:w="0" w:type="dxa"/>
            <w:left w:w="108" w:type="dxa"/>
            <w:bottom w:w="0" w:type="dxa"/>
            <w:right w:w="108" w:type="dxa"/>
          </w:tblCellMar>
        </w:tblPrEx>
        <w:trPr>
          <w:trHeight w:val="3645" w:hRule="atLeast"/>
        </w:trPr>
        <w:tc>
          <w:tcPr>
            <w:tcW w:w="1274" w:type="pct"/>
            <w:tcBorders>
              <w:top w:val="single" w:color="000000" w:sz="4" w:space="0"/>
              <w:left w:val="single" w:color="000000" w:sz="4" w:space="0"/>
              <w:bottom w:val="single" w:color="000000" w:sz="4" w:space="0"/>
              <w:right w:val="single" w:color="000000" w:sz="4" w:space="0"/>
            </w:tcBorders>
            <w:vAlign w:val="center"/>
          </w:tcPr>
          <w:p w14:paraId="48AE36B3">
            <w:pPr>
              <w:jc w:val="center"/>
              <w:rPr>
                <w:rFonts w:hint="eastAsia" w:ascii="仿宋_GB2312" w:hAnsi="宋体" w:eastAsia="仿宋_GB2312" w:cs="宋体"/>
                <w:color w:val="auto"/>
              </w:rPr>
            </w:pPr>
            <w:r>
              <w:rPr>
                <w:rFonts w:hint="eastAsia" w:ascii="仿宋_GB2312" w:hAnsi="宋体" w:eastAsia="仿宋_GB2312" w:cs="宋体"/>
                <w:color w:val="auto"/>
              </w:rPr>
              <w:t>租赁公司</w:t>
            </w:r>
          </w:p>
          <w:p w14:paraId="5E75580D">
            <w:pPr>
              <w:jc w:val="center"/>
              <w:rPr>
                <w:rFonts w:hint="eastAsia" w:ascii="仿宋_GB2312" w:hAnsi="宋体" w:eastAsia="仿宋_GB2312" w:cs="宋体"/>
                <w:color w:val="auto"/>
                <w:sz w:val="22"/>
                <w:szCs w:val="22"/>
                <w:lang w:eastAsia="zh-CN"/>
              </w:rPr>
            </w:pPr>
            <w:r>
              <w:rPr>
                <w:rFonts w:hint="eastAsia" w:ascii="仿宋_GB2312" w:hAnsi="宋体" w:eastAsia="仿宋_GB2312" w:cs="宋体"/>
                <w:color w:val="auto"/>
              </w:rPr>
              <w:t>副总经理</w:t>
            </w:r>
          </w:p>
        </w:tc>
        <w:tc>
          <w:tcPr>
            <w:tcW w:w="2125" w:type="pct"/>
            <w:tcBorders>
              <w:top w:val="single" w:color="000000" w:sz="4" w:space="0"/>
              <w:left w:val="single" w:color="000000" w:sz="4" w:space="0"/>
              <w:bottom w:val="single" w:color="000000" w:sz="4" w:space="0"/>
              <w:right w:val="single" w:color="000000" w:sz="4" w:space="0"/>
            </w:tcBorders>
            <w:vAlign w:val="center"/>
          </w:tcPr>
          <w:p w14:paraId="56BFE18F">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1.协助制定融资租赁公司战略规划，根据市场需求、竞争环境和公司资源制定长期和短期目标，并监督控制目标的完成情况；</w:t>
            </w:r>
          </w:p>
          <w:p w14:paraId="1A3D07F0">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2.协助管理融资租赁公司的市场开拓以及客户关系管理，确保公司能够获取并保持良好的客户关系；</w:t>
            </w:r>
          </w:p>
          <w:p w14:paraId="326645A0">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3.协助开展公司业务风险识别和评估，开展风险控制相关工作；</w:t>
            </w:r>
          </w:p>
          <w:p w14:paraId="1889D0E3">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4.协助研究行业动态和市场趋势，预测和洞察市场变化，为企业未来发展提供战略指导和建议；</w:t>
            </w:r>
          </w:p>
          <w:p w14:paraId="7A1F4C0F">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5.协助重要商务谈判，与合作客户和相关方进行业务洽谈，制定合同和协议；</w:t>
            </w:r>
          </w:p>
          <w:p w14:paraId="1DB5D31D">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6.协助管理团队，确保团队高效运作；</w:t>
            </w:r>
          </w:p>
          <w:p w14:paraId="6370B628">
            <w:pPr>
              <w:kinsoku/>
              <w:jc w:val="both"/>
              <w:rPr>
                <w:rFonts w:hint="eastAsia" w:ascii="仿宋_GB2312" w:hAnsi="宋体" w:eastAsia="仿宋_GB2312" w:cs="宋体"/>
                <w:color w:val="auto"/>
                <w:highlight w:val="yellow"/>
                <w:lang w:eastAsia="zh-CN"/>
              </w:rPr>
            </w:pPr>
            <w:r>
              <w:rPr>
                <w:rFonts w:hint="eastAsia" w:ascii="仿宋_GB2312" w:hAnsi="宋体" w:eastAsia="仿宋_GB2312" w:cs="宋体"/>
                <w:color w:val="auto"/>
                <w:lang w:eastAsia="zh-CN"/>
              </w:rPr>
              <w:t>7.完成领导交办的其他工作。</w:t>
            </w:r>
          </w:p>
        </w:tc>
        <w:tc>
          <w:tcPr>
            <w:tcW w:w="1600" w:type="pct"/>
            <w:tcBorders>
              <w:top w:val="single" w:color="000000" w:sz="4" w:space="0"/>
              <w:left w:val="single" w:color="000000" w:sz="4" w:space="0"/>
              <w:bottom w:val="single" w:color="000000" w:sz="4" w:space="0"/>
              <w:right w:val="single" w:color="000000" w:sz="4" w:space="0"/>
            </w:tcBorders>
            <w:vAlign w:val="center"/>
          </w:tcPr>
          <w:p w14:paraId="76090654">
            <w:pPr>
              <w:rPr>
                <w:rFonts w:hint="eastAsia" w:ascii="仿宋_GB2312" w:hAnsi="宋体" w:eastAsia="仿宋_GB2312" w:cs="宋体"/>
                <w:color w:val="auto"/>
                <w:lang w:eastAsia="zh-CN"/>
              </w:rPr>
            </w:pPr>
            <w:bookmarkStart w:id="2" w:name="OLE_LINK12"/>
            <w:r>
              <w:rPr>
                <w:rFonts w:hint="eastAsia" w:ascii="仿宋_GB2312" w:hAnsi="宋体" w:eastAsia="仿宋_GB2312" w:cs="宋体"/>
                <w:color w:val="auto"/>
                <w:lang w:eastAsia="zh-CN"/>
              </w:rPr>
              <w:t>1.</w:t>
            </w:r>
            <w:bookmarkEnd w:id="2"/>
            <w:r>
              <w:rPr>
                <w:rFonts w:hint="eastAsia" w:ascii="仿宋_GB2312" w:hAnsi="楷体_GB2312" w:eastAsia="仿宋_GB2312" w:cs="楷体_GB2312"/>
                <w:color w:val="auto"/>
                <w:lang w:eastAsia="zh-CN"/>
              </w:rPr>
              <w:t>年龄</w:t>
            </w:r>
            <w:r>
              <w:rPr>
                <w:rFonts w:hint="eastAsia" w:ascii="仿宋_GB2312" w:hAnsi="宋体" w:eastAsia="仿宋_GB2312" w:cs="宋体"/>
                <w:color w:val="auto"/>
                <w:lang w:eastAsia="zh-CN"/>
              </w:rPr>
              <w:t>45周岁及以下，全日制本科及以上学历，金融学、经济学、会计学、财务管理等相关专业；</w:t>
            </w:r>
          </w:p>
          <w:p w14:paraId="5344B0A3">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2.具有8年及以上融资租赁、金融租赁、银行等相关工作经验，具有团队管理经验，能够带领团队完成公司经营指标并控制风险；</w:t>
            </w:r>
          </w:p>
          <w:p w14:paraId="0D393B41">
            <w:pPr>
              <w:rPr>
                <w:rFonts w:hint="eastAsia" w:ascii="仿宋_GB2312" w:hAnsi="宋体" w:eastAsia="仿宋_GB2312" w:cs="宋体"/>
                <w:color w:val="auto"/>
                <w:lang w:eastAsia="zh-CN"/>
              </w:rPr>
            </w:pPr>
            <w:r>
              <w:rPr>
                <w:rFonts w:hint="eastAsia" w:ascii="仿宋_GB2312" w:hAnsi="宋体" w:eastAsia="仿宋_GB2312" w:cs="宋体"/>
                <w:color w:val="auto"/>
                <w:lang w:eastAsia="zh-CN"/>
              </w:rPr>
              <w:t>3.具备融资租赁行业战略客户资源，熟悉全国融资租赁行业市场；</w:t>
            </w:r>
          </w:p>
          <w:p w14:paraId="67A2DE83">
            <w:pPr>
              <w:kinsoku/>
              <w:jc w:val="both"/>
              <w:rPr>
                <w:rFonts w:hint="eastAsia" w:ascii="仿宋_GB2312" w:hAnsi="宋体" w:eastAsia="仿宋_GB2312" w:cs="宋体"/>
                <w:color w:val="auto"/>
                <w:lang w:eastAsia="zh-CN"/>
              </w:rPr>
            </w:pPr>
            <w:r>
              <w:rPr>
                <w:rFonts w:hint="eastAsia" w:ascii="仿宋_GB2312" w:hAnsi="宋体" w:eastAsia="仿宋_GB2312" w:cs="宋体"/>
                <w:color w:val="auto"/>
                <w:lang w:eastAsia="zh-CN"/>
              </w:rPr>
              <w:t>4.熟悉国有融资租赁公司内控体系、合规管理、重大项目运作模式、风控及决策流程。</w:t>
            </w:r>
          </w:p>
        </w:tc>
      </w:tr>
    </w:tbl>
    <w:p w14:paraId="0C89CA3B">
      <w:pPr>
        <w:pStyle w:val="2"/>
        <w:rPr>
          <w:rFonts w:hint="eastAsia" w:ascii="仿宋_GB2312" w:hAnsi="宋体" w:eastAsia="仿宋_GB2312" w:cs="宋体"/>
          <w:color w:val="auto"/>
          <w:sz w:val="32"/>
          <w:szCs w:val="32"/>
          <w:lang w:eastAsia="zh-CN" w:bidi="zh-CN"/>
        </w:rPr>
      </w:pPr>
    </w:p>
    <w:sectPr>
      <w:footerReference r:id="rId3" w:type="default"/>
      <w:pgSz w:w="11906" w:h="16839"/>
      <w:pgMar w:top="2098" w:right="1474" w:bottom="1984" w:left="1587" w:header="850" w:footer="992" w:gutter="0"/>
      <w:pgNumType w:fmt="numberInDash"/>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8B4B01-7DAC-4F09-9224-11E72BDE18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9A0D61F9-A8D1-4BA0-A86B-89EC46CFC6A1}"/>
  </w:font>
  <w:font w:name="仿宋_GB2312">
    <w:panose1 w:val="02010609030101010101"/>
    <w:charset w:val="86"/>
    <w:family w:val="modern"/>
    <w:pitch w:val="default"/>
    <w:sig w:usb0="00000001" w:usb1="080E0000" w:usb2="00000000" w:usb3="00000000" w:csb0="00040000" w:csb1="00000000"/>
    <w:embedRegular r:id="rId3" w:fontKey="{7664A6C0-BEC0-4467-BFEE-59583DC06240}"/>
  </w:font>
  <w:font w:name="楷体_GB2312">
    <w:panose1 w:val="02010609030101010101"/>
    <w:charset w:val="86"/>
    <w:family w:val="modern"/>
    <w:pitch w:val="default"/>
    <w:sig w:usb0="00000001" w:usb1="080E0000" w:usb2="00000000" w:usb3="00000000" w:csb0="00040000" w:csb1="00000000"/>
    <w:embedRegular r:id="rId4" w:fontKey="{FFC1006D-26B8-4F00-99C6-B39A76B35221}"/>
  </w:font>
  <w:font w:name="华文仿宋">
    <w:panose1 w:val="02010600040101010101"/>
    <w:charset w:val="86"/>
    <w:family w:val="auto"/>
    <w:pitch w:val="default"/>
    <w:sig w:usb0="00000287" w:usb1="080F0000" w:usb2="00000000" w:usb3="00000000" w:csb0="0004009F" w:csb1="DFD70000"/>
    <w:embedRegular r:id="rId5" w:fontKey="{042BC170-0304-4464-8110-9836D38AB1E3}"/>
  </w:font>
  <w:font w:name="WPSEMBED56">
    <w:panose1 w:val="03000509000000000000"/>
    <w:charset w:val="86"/>
    <w:family w:val="auto"/>
    <w:pitch w:val="default"/>
    <w:sig w:usb0="00000001" w:usb1="080E0000" w:usb2="00000000" w:usb3="00000000" w:csb0="00040000" w:csb1="00000000"/>
  </w:font>
  <w:font w:name="WPSEMBED57">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46267">
    <w:pPr>
      <w:spacing w:before="1" w:line="234" w:lineRule="auto"/>
      <w:ind w:left="140"/>
      <w:rPr>
        <w:rFonts w:hint="eastAsia"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D2505">
                          <w:pPr>
                            <w:rPr>
                              <w:rFonts w:hint="eastAsia" w:asciiTheme="minorEastAsia" w:hAnsiTheme="minorEastAsia" w:eastAsiaTheme="minorEastAsia" w:cstheme="minorEastAsia"/>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4BD2505">
                    <w:pPr>
                      <w:rPr>
                        <w:rFonts w:hint="eastAsia" w:asciiTheme="minorEastAsia" w:hAnsiTheme="minorEastAsia" w:eastAsiaTheme="minorEastAsia" w:cstheme="minorEastAsia"/>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embedTrueTypeFonts/>
  <w:saveSubsetFonts/>
  <w:documentProtection w:enforcement="0"/>
  <w:defaultTabStop w:val="420"/>
  <w:noPunctuationKerning w:val="1"/>
  <w:characterSpacingControl w:val="doNotCompress"/>
  <w:compat>
    <w:spaceForUL/>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YzE1M2Q3Yjk1YjdjNDZjMzIzYjBlNjM5MGQ0M2U5YWQifQ=="/>
  </w:docVars>
  <w:rsids>
    <w:rsidRoot w:val="009A0BD5"/>
    <w:rsid w:val="0055187C"/>
    <w:rsid w:val="00591AE4"/>
    <w:rsid w:val="005E25E5"/>
    <w:rsid w:val="006462E5"/>
    <w:rsid w:val="006D22AA"/>
    <w:rsid w:val="009A0BD5"/>
    <w:rsid w:val="009B24E8"/>
    <w:rsid w:val="00AB328E"/>
    <w:rsid w:val="00BB3FDD"/>
    <w:rsid w:val="00CD48C7"/>
    <w:rsid w:val="00FD39AC"/>
    <w:rsid w:val="013E5F42"/>
    <w:rsid w:val="019638DB"/>
    <w:rsid w:val="02873BB9"/>
    <w:rsid w:val="030D40BE"/>
    <w:rsid w:val="03B33353"/>
    <w:rsid w:val="04236D6A"/>
    <w:rsid w:val="04293179"/>
    <w:rsid w:val="04405C0A"/>
    <w:rsid w:val="04925AA8"/>
    <w:rsid w:val="04A54FD3"/>
    <w:rsid w:val="05B72A07"/>
    <w:rsid w:val="0639216C"/>
    <w:rsid w:val="06863537"/>
    <w:rsid w:val="068C79F0"/>
    <w:rsid w:val="075229E7"/>
    <w:rsid w:val="075B2898"/>
    <w:rsid w:val="07713021"/>
    <w:rsid w:val="07AC659B"/>
    <w:rsid w:val="08943EC8"/>
    <w:rsid w:val="08BD631C"/>
    <w:rsid w:val="09140B7E"/>
    <w:rsid w:val="09D307AE"/>
    <w:rsid w:val="09EB7107"/>
    <w:rsid w:val="0A4A209B"/>
    <w:rsid w:val="0A626F6C"/>
    <w:rsid w:val="0A650682"/>
    <w:rsid w:val="0A8568B0"/>
    <w:rsid w:val="0AAB3DB0"/>
    <w:rsid w:val="0B27202A"/>
    <w:rsid w:val="0B4025F0"/>
    <w:rsid w:val="0C365D1A"/>
    <w:rsid w:val="0D15428C"/>
    <w:rsid w:val="0D1F741F"/>
    <w:rsid w:val="0D7F02AE"/>
    <w:rsid w:val="0DCE0FF6"/>
    <w:rsid w:val="0E04133E"/>
    <w:rsid w:val="0F617717"/>
    <w:rsid w:val="0F8B39C1"/>
    <w:rsid w:val="0FB05050"/>
    <w:rsid w:val="0FD846B4"/>
    <w:rsid w:val="0FE657C5"/>
    <w:rsid w:val="10013DF0"/>
    <w:rsid w:val="10507CE0"/>
    <w:rsid w:val="106C4906"/>
    <w:rsid w:val="109A0F5B"/>
    <w:rsid w:val="10AF0847"/>
    <w:rsid w:val="11124F95"/>
    <w:rsid w:val="111C69AA"/>
    <w:rsid w:val="113B1A46"/>
    <w:rsid w:val="116133C9"/>
    <w:rsid w:val="1177291A"/>
    <w:rsid w:val="11C73FD2"/>
    <w:rsid w:val="12243D79"/>
    <w:rsid w:val="123E3F8F"/>
    <w:rsid w:val="126A1BCD"/>
    <w:rsid w:val="13C019EF"/>
    <w:rsid w:val="13EE5AF3"/>
    <w:rsid w:val="14371377"/>
    <w:rsid w:val="148004A2"/>
    <w:rsid w:val="14A03B2D"/>
    <w:rsid w:val="14C9245D"/>
    <w:rsid w:val="14CB0785"/>
    <w:rsid w:val="15442DF3"/>
    <w:rsid w:val="15472591"/>
    <w:rsid w:val="16541B38"/>
    <w:rsid w:val="16895CFA"/>
    <w:rsid w:val="173E4D36"/>
    <w:rsid w:val="18DC65B5"/>
    <w:rsid w:val="190C57B6"/>
    <w:rsid w:val="194859F8"/>
    <w:rsid w:val="19F542F7"/>
    <w:rsid w:val="1A045F10"/>
    <w:rsid w:val="1A3146DE"/>
    <w:rsid w:val="1A564145"/>
    <w:rsid w:val="1A6F4BD8"/>
    <w:rsid w:val="1B852F33"/>
    <w:rsid w:val="1BEA0CC3"/>
    <w:rsid w:val="1BF165E8"/>
    <w:rsid w:val="1D456234"/>
    <w:rsid w:val="1DDE315E"/>
    <w:rsid w:val="1E221BA9"/>
    <w:rsid w:val="1E5135A1"/>
    <w:rsid w:val="1E9D75A5"/>
    <w:rsid w:val="1F444CAD"/>
    <w:rsid w:val="1F4D03E2"/>
    <w:rsid w:val="1FA802B9"/>
    <w:rsid w:val="1FC7012E"/>
    <w:rsid w:val="202B0B07"/>
    <w:rsid w:val="20336CE1"/>
    <w:rsid w:val="205C1B81"/>
    <w:rsid w:val="20F546B7"/>
    <w:rsid w:val="21184D53"/>
    <w:rsid w:val="226D44E5"/>
    <w:rsid w:val="22761828"/>
    <w:rsid w:val="22A87B4E"/>
    <w:rsid w:val="22F27A37"/>
    <w:rsid w:val="231C4AC9"/>
    <w:rsid w:val="23434760"/>
    <w:rsid w:val="23671131"/>
    <w:rsid w:val="23971027"/>
    <w:rsid w:val="23E337A1"/>
    <w:rsid w:val="23E50BA6"/>
    <w:rsid w:val="24610C3F"/>
    <w:rsid w:val="24A32543"/>
    <w:rsid w:val="251558DC"/>
    <w:rsid w:val="25161FA8"/>
    <w:rsid w:val="25400EBB"/>
    <w:rsid w:val="2551597A"/>
    <w:rsid w:val="25FD6F69"/>
    <w:rsid w:val="27171DE1"/>
    <w:rsid w:val="272D12E2"/>
    <w:rsid w:val="27B5231E"/>
    <w:rsid w:val="2823276F"/>
    <w:rsid w:val="283B39E3"/>
    <w:rsid w:val="28797F30"/>
    <w:rsid w:val="293007F6"/>
    <w:rsid w:val="293240CA"/>
    <w:rsid w:val="29F23881"/>
    <w:rsid w:val="2A687AD5"/>
    <w:rsid w:val="2B14129A"/>
    <w:rsid w:val="2C000F15"/>
    <w:rsid w:val="2C2D20AC"/>
    <w:rsid w:val="2DC840E0"/>
    <w:rsid w:val="2E0423DE"/>
    <w:rsid w:val="2E5F1DFB"/>
    <w:rsid w:val="2F200D2C"/>
    <w:rsid w:val="2F5F2E74"/>
    <w:rsid w:val="3027727A"/>
    <w:rsid w:val="31182129"/>
    <w:rsid w:val="316E3479"/>
    <w:rsid w:val="318000AB"/>
    <w:rsid w:val="31EB4F2C"/>
    <w:rsid w:val="321254F0"/>
    <w:rsid w:val="32803FFD"/>
    <w:rsid w:val="3288064B"/>
    <w:rsid w:val="328E671A"/>
    <w:rsid w:val="332D7CE1"/>
    <w:rsid w:val="33A15FD9"/>
    <w:rsid w:val="3470452F"/>
    <w:rsid w:val="34DA5C46"/>
    <w:rsid w:val="351F5010"/>
    <w:rsid w:val="353510CF"/>
    <w:rsid w:val="358031F2"/>
    <w:rsid w:val="36452437"/>
    <w:rsid w:val="364A37CB"/>
    <w:rsid w:val="364D7978"/>
    <w:rsid w:val="36A06A1C"/>
    <w:rsid w:val="36B72AAA"/>
    <w:rsid w:val="36C00E6C"/>
    <w:rsid w:val="36C77CC8"/>
    <w:rsid w:val="36CA3A99"/>
    <w:rsid w:val="36CE17DB"/>
    <w:rsid w:val="36F9089A"/>
    <w:rsid w:val="37236633"/>
    <w:rsid w:val="374E124B"/>
    <w:rsid w:val="37C02607"/>
    <w:rsid w:val="37DE1D6C"/>
    <w:rsid w:val="381945B7"/>
    <w:rsid w:val="38572CA2"/>
    <w:rsid w:val="392E1330"/>
    <w:rsid w:val="39575624"/>
    <w:rsid w:val="39AA274F"/>
    <w:rsid w:val="39D70F99"/>
    <w:rsid w:val="39F03816"/>
    <w:rsid w:val="3AFD443D"/>
    <w:rsid w:val="3AFD73CB"/>
    <w:rsid w:val="3B405A1C"/>
    <w:rsid w:val="3B8E768A"/>
    <w:rsid w:val="3BD91A5F"/>
    <w:rsid w:val="3C9B5C70"/>
    <w:rsid w:val="3CCF005B"/>
    <w:rsid w:val="3CE843EB"/>
    <w:rsid w:val="3D2D3192"/>
    <w:rsid w:val="3D754DDD"/>
    <w:rsid w:val="3DB85036"/>
    <w:rsid w:val="3E764209"/>
    <w:rsid w:val="3E833F6D"/>
    <w:rsid w:val="3ECB0200"/>
    <w:rsid w:val="3F112CE4"/>
    <w:rsid w:val="3F1579F5"/>
    <w:rsid w:val="3F4C1BD8"/>
    <w:rsid w:val="3F780536"/>
    <w:rsid w:val="40690E2C"/>
    <w:rsid w:val="409F423D"/>
    <w:rsid w:val="41E758B4"/>
    <w:rsid w:val="41FD6DD6"/>
    <w:rsid w:val="423D05CE"/>
    <w:rsid w:val="42BC5817"/>
    <w:rsid w:val="42D737C5"/>
    <w:rsid w:val="433911DA"/>
    <w:rsid w:val="436D5B0C"/>
    <w:rsid w:val="441C1E6E"/>
    <w:rsid w:val="447A4D50"/>
    <w:rsid w:val="448607D8"/>
    <w:rsid w:val="448A3389"/>
    <w:rsid w:val="449669CC"/>
    <w:rsid w:val="44B65EA5"/>
    <w:rsid w:val="45707BAF"/>
    <w:rsid w:val="45E72A8B"/>
    <w:rsid w:val="46A9191C"/>
    <w:rsid w:val="471D671E"/>
    <w:rsid w:val="4721615A"/>
    <w:rsid w:val="477575C0"/>
    <w:rsid w:val="47791A44"/>
    <w:rsid w:val="47B20C3E"/>
    <w:rsid w:val="47B707BB"/>
    <w:rsid w:val="47BB16B4"/>
    <w:rsid w:val="485F031A"/>
    <w:rsid w:val="486E0728"/>
    <w:rsid w:val="48CF6C75"/>
    <w:rsid w:val="490B1212"/>
    <w:rsid w:val="491E2A22"/>
    <w:rsid w:val="498A77E3"/>
    <w:rsid w:val="4A0A5DB9"/>
    <w:rsid w:val="4A1946C3"/>
    <w:rsid w:val="4A54394D"/>
    <w:rsid w:val="4A546448"/>
    <w:rsid w:val="4A6175BB"/>
    <w:rsid w:val="4A7E1176"/>
    <w:rsid w:val="4B5856BF"/>
    <w:rsid w:val="4B8175FD"/>
    <w:rsid w:val="4BC82897"/>
    <w:rsid w:val="4C1F748E"/>
    <w:rsid w:val="4C29271E"/>
    <w:rsid w:val="4C3C5B7B"/>
    <w:rsid w:val="4D135D42"/>
    <w:rsid w:val="4D360A3D"/>
    <w:rsid w:val="4D630C38"/>
    <w:rsid w:val="4D7D3A4A"/>
    <w:rsid w:val="4DB12CF5"/>
    <w:rsid w:val="4DE80F7C"/>
    <w:rsid w:val="4E216593"/>
    <w:rsid w:val="4E297856"/>
    <w:rsid w:val="4F3B7308"/>
    <w:rsid w:val="4F6202C6"/>
    <w:rsid w:val="501C4F0D"/>
    <w:rsid w:val="501F67AB"/>
    <w:rsid w:val="503D4EF6"/>
    <w:rsid w:val="50DF405E"/>
    <w:rsid w:val="51294014"/>
    <w:rsid w:val="517631D1"/>
    <w:rsid w:val="51A1138A"/>
    <w:rsid w:val="51A53117"/>
    <w:rsid w:val="52F26BEE"/>
    <w:rsid w:val="5320391E"/>
    <w:rsid w:val="53302189"/>
    <w:rsid w:val="543A411C"/>
    <w:rsid w:val="5442626B"/>
    <w:rsid w:val="548C4EBB"/>
    <w:rsid w:val="54A732DF"/>
    <w:rsid w:val="54CD0AF3"/>
    <w:rsid w:val="550A7A2A"/>
    <w:rsid w:val="5552093C"/>
    <w:rsid w:val="559E1A7E"/>
    <w:rsid w:val="56835A2C"/>
    <w:rsid w:val="568B3D10"/>
    <w:rsid w:val="56BF0946"/>
    <w:rsid w:val="56DD7EC1"/>
    <w:rsid w:val="571406EC"/>
    <w:rsid w:val="571A4FE9"/>
    <w:rsid w:val="57C22825"/>
    <w:rsid w:val="580D4670"/>
    <w:rsid w:val="58240E03"/>
    <w:rsid w:val="595623E9"/>
    <w:rsid w:val="59690811"/>
    <w:rsid w:val="59CC62BD"/>
    <w:rsid w:val="59D14FBA"/>
    <w:rsid w:val="5A377AC8"/>
    <w:rsid w:val="5ACB4712"/>
    <w:rsid w:val="5AD30BD2"/>
    <w:rsid w:val="5D623CAF"/>
    <w:rsid w:val="5D6D7DA8"/>
    <w:rsid w:val="5DE067CA"/>
    <w:rsid w:val="5DF3531B"/>
    <w:rsid w:val="5E1A62AA"/>
    <w:rsid w:val="5E2C60B4"/>
    <w:rsid w:val="5E8720EC"/>
    <w:rsid w:val="5ECB3E2A"/>
    <w:rsid w:val="5ECC7E12"/>
    <w:rsid w:val="5EDD7112"/>
    <w:rsid w:val="5F3D4341"/>
    <w:rsid w:val="60152ADD"/>
    <w:rsid w:val="60810ADE"/>
    <w:rsid w:val="619A242B"/>
    <w:rsid w:val="621974FF"/>
    <w:rsid w:val="62AE40EB"/>
    <w:rsid w:val="62AE5E99"/>
    <w:rsid w:val="62EE2FE3"/>
    <w:rsid w:val="6322293C"/>
    <w:rsid w:val="634632A4"/>
    <w:rsid w:val="63CB4828"/>
    <w:rsid w:val="64140A31"/>
    <w:rsid w:val="64BF0704"/>
    <w:rsid w:val="65BA55F6"/>
    <w:rsid w:val="65C92FEA"/>
    <w:rsid w:val="65DA462D"/>
    <w:rsid w:val="65E25E59"/>
    <w:rsid w:val="65F7105C"/>
    <w:rsid w:val="662149F0"/>
    <w:rsid w:val="664B6C83"/>
    <w:rsid w:val="66506A34"/>
    <w:rsid w:val="665518C3"/>
    <w:rsid w:val="66A15D14"/>
    <w:rsid w:val="66B46B4A"/>
    <w:rsid w:val="66F71E8E"/>
    <w:rsid w:val="67DB6EBB"/>
    <w:rsid w:val="689F6284"/>
    <w:rsid w:val="68AF296B"/>
    <w:rsid w:val="69074555"/>
    <w:rsid w:val="69D50BCA"/>
    <w:rsid w:val="69D53A00"/>
    <w:rsid w:val="6A331B5C"/>
    <w:rsid w:val="6A42336B"/>
    <w:rsid w:val="6A682DD1"/>
    <w:rsid w:val="6A9D38B2"/>
    <w:rsid w:val="6B0C1666"/>
    <w:rsid w:val="6B623CC4"/>
    <w:rsid w:val="6B672AA7"/>
    <w:rsid w:val="6B7439F8"/>
    <w:rsid w:val="6B8768AC"/>
    <w:rsid w:val="6BA63261"/>
    <w:rsid w:val="6BEE1AA1"/>
    <w:rsid w:val="6BF9296E"/>
    <w:rsid w:val="6C1A2C59"/>
    <w:rsid w:val="6C1C5140"/>
    <w:rsid w:val="6C7672FB"/>
    <w:rsid w:val="6CC30793"/>
    <w:rsid w:val="6D302354"/>
    <w:rsid w:val="6D800432"/>
    <w:rsid w:val="6E7C0D85"/>
    <w:rsid w:val="6F1B0B22"/>
    <w:rsid w:val="6F35349E"/>
    <w:rsid w:val="6F675F0D"/>
    <w:rsid w:val="70BE1900"/>
    <w:rsid w:val="70E54BFD"/>
    <w:rsid w:val="70F144E6"/>
    <w:rsid w:val="710650F2"/>
    <w:rsid w:val="710C66F8"/>
    <w:rsid w:val="7169742F"/>
    <w:rsid w:val="716F0701"/>
    <w:rsid w:val="71C656A6"/>
    <w:rsid w:val="71DB657E"/>
    <w:rsid w:val="71EB1615"/>
    <w:rsid w:val="72231C64"/>
    <w:rsid w:val="72E9188C"/>
    <w:rsid w:val="72FA0DD5"/>
    <w:rsid w:val="73252E9C"/>
    <w:rsid w:val="73653AB5"/>
    <w:rsid w:val="73A330CC"/>
    <w:rsid w:val="74750755"/>
    <w:rsid w:val="74956A8E"/>
    <w:rsid w:val="75C86E1A"/>
    <w:rsid w:val="76E3733D"/>
    <w:rsid w:val="773A1430"/>
    <w:rsid w:val="776963DA"/>
    <w:rsid w:val="77972713"/>
    <w:rsid w:val="77BE0223"/>
    <w:rsid w:val="77C7276C"/>
    <w:rsid w:val="77E37385"/>
    <w:rsid w:val="77E37F3B"/>
    <w:rsid w:val="78035FF5"/>
    <w:rsid w:val="79615DEF"/>
    <w:rsid w:val="79EF706B"/>
    <w:rsid w:val="7A6D1D3E"/>
    <w:rsid w:val="7A8772A3"/>
    <w:rsid w:val="7AE36854"/>
    <w:rsid w:val="7AF34C7E"/>
    <w:rsid w:val="7B2221EF"/>
    <w:rsid w:val="7C26029F"/>
    <w:rsid w:val="7C5E022E"/>
    <w:rsid w:val="7C6F7E60"/>
    <w:rsid w:val="7CBC29E6"/>
    <w:rsid w:val="7D0A41BC"/>
    <w:rsid w:val="7D44017F"/>
    <w:rsid w:val="7D9D0B8C"/>
    <w:rsid w:val="7DBC5BDA"/>
    <w:rsid w:val="7DBE049D"/>
    <w:rsid w:val="7DD54E05"/>
    <w:rsid w:val="7DF60425"/>
    <w:rsid w:val="7E546399"/>
    <w:rsid w:val="7E5C41DB"/>
    <w:rsid w:val="7ECD3AD2"/>
    <w:rsid w:val="7F4042DF"/>
    <w:rsid w:val="7F592A2B"/>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spacing w:beforeAutospacing="1" w:afterAutospacing="1"/>
      <w:outlineLvl w:val="0"/>
    </w:pPr>
    <w:rPr>
      <w:rFonts w:hint="eastAsia" w:ascii="宋体" w:hAnsi="宋体" w:eastAsia="宋体" w:cs="Times New Roman"/>
      <w:b/>
      <w:kern w:val="44"/>
      <w:sz w:val="48"/>
      <w:szCs w:val="48"/>
      <w:lang w:eastAsia="zh-CN"/>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pPr>
      <w:spacing w:beforeAutospacing="1" w:afterAutospacing="1"/>
    </w:pPr>
    <w:rPr>
      <w:rFonts w:cs="Times New Roman"/>
      <w:sz w:val="24"/>
      <w:lang w:eastAsia="zh-CN"/>
    </w:rPr>
  </w:style>
  <w:style w:type="paragraph" w:styleId="7">
    <w:name w:val="Body Text First Indent"/>
    <w:basedOn w:val="2"/>
    <w:unhideWhenUsed/>
    <w:qFormat/>
    <w:uiPriority w:val="99"/>
    <w:pPr>
      <w:ind w:firstLine="420" w:firstLineChars="100"/>
    </w:pPr>
  </w:style>
  <w:style w:type="character" w:styleId="10">
    <w:name w:val="Strong"/>
    <w:basedOn w:val="9"/>
    <w:qFormat/>
    <w:uiPriority w:val="0"/>
    <w:rPr>
      <w:b/>
    </w:rPr>
  </w:style>
  <w:style w:type="paragraph" w:customStyle="1" w:styleId="11">
    <w:name w:val="正文首行缩进1"/>
    <w:qFormat/>
    <w:uiPriority w:val="99"/>
    <w:pPr>
      <w:widowControl w:val="0"/>
      <w:spacing w:after="120"/>
      <w:ind w:firstLine="562"/>
      <w:jc w:val="both"/>
    </w:pPr>
    <w:rPr>
      <w:rFonts w:ascii="Calibri" w:hAnsi="Calibri" w:eastAsia="宋体" w:cs="Times New Roman"/>
      <w:kern w:val="2"/>
      <w:sz w:val="21"/>
      <w:szCs w:val="24"/>
      <w:lang w:val="en-US" w:eastAsia="zh-CN" w:bidi="ar-SA"/>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正文文本首行缩进1"/>
    <w:basedOn w:val="2"/>
    <w:qFormat/>
    <w:uiPriority w:val="0"/>
    <w:pPr>
      <w:ind w:firstLine="420" w:firstLineChars="1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9e538d8d-bfa2-41c6-a5b1-fb6f3d7df470</errorID>
      <errorWord>做到“两个维护”</errorWord>
      <group>L1_Political</group>
      <groupName>政治性问题</groupName>
      <ability>L2_Unpolitical</ability>
      <abilityName>政治敏感错误</abilityName>
      <candidateList>
        <item>坚决做到“两个维护”</item>
      </candidateList>
      <explain/>
      <paraID>45C549EB</paraID>
      <start>72</start>
      <end>80</end>
      <status>ignored</status>
      <modifiedWord/>
      <trackRevisions>false</trackRevisions>
    </reviewItem>
    <reviewItem>
      <errorID>bb953932-74e9-4d2e-a730-a74a3c4bc1bb</errorID>
      <errorWord>日至2026年</errorWord>
      <group>L1_Word</group>
      <groupName>字词问题</groupName>
      <ability>L2_Typo</ability>
      <abilityName>字词错误</abilityName>
      <candidateList>
        <item>日起至2026年</item>
      </candidateList>
      <explain/>
      <paraID>67D9B2BF</paraID>
      <start>14</start>
      <end>21</end>
      <status>ignored</status>
      <modifiedWord/>
      <trackRevisions>false</trackRevisions>
    </reviewItem>
    <reviewItem>
      <errorID>75a516f0-7138-4599-9ec5-051fef20a5a7</errorID>
      <errorWord>畅通</errorWord>
      <group>L1_Word</group>
      <groupName>字词问题</groupName>
      <ability>L2_Typo</ability>
      <abilityName>字词错误</abilityName>
      <candidateList>
        <item>畅</item>
      </candidateList>
      <explain/>
      <paraID>792A4CCA</paraID>
      <start>53</start>
      <end>55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CE54CD-C4F3-4482-919D-AB045646C933}">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2013</Words>
  <Characters>2075</Characters>
  <Lines>30</Lines>
  <Paragraphs>8</Paragraphs>
  <TotalTime>15</TotalTime>
  <ScaleCrop>false</ScaleCrop>
  <LinksUpToDate>false</LinksUpToDate>
  <CharactersWithSpaces>2079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2024-12-25T15:24:00Z</dcterms:created>
  <dc:creator>甘辉鹏</dc:creator>
  <cp:lastModifiedBy>彭昕漩</cp:lastModifiedBy>
  <cp:lastPrinted>2026-08-25T06:50:00Z</cp:lastPrinted>
  <dcterms:modified xsi:type="dcterms:W3CDTF">2026-08-28T01:52:23Z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2024-12-27T20:16:51Z</vt:filetime>
  </property>
  <property fmtid="{D5CDD505-2E9C-101B-9397-08002B2CF9AE}" pid="4" name="KSOProductBuildVer">
    <vt:lpwstr>2052-12.1.0.28043</vt:lpwstr>
  </property>
  <property fmtid="{D5CDD505-2E9C-101B-9397-08002B2CF9AE}" pid="5" name="KSOTemplateDocerSaveRecord">
    <vt:lpwstr>eyJoZGlkIjoiYjQyNmYxOWViODMxOTkzZjcwMjBkNTk5YmVmMTcwMTYiLCJ1c2VySWQiOiI0MzAyMjQyMzkifQ==</vt:lpwstr>
  </property>
  <property fmtid="{D5CDD505-2E9C-101B-9397-08002B2CF9AE}" pid="6" name="ICV">
    <vt:lpwstr>B53EA75D33BB4796ADFE434D0992FDAD_13</vt:lpwstr>
  </property>
</Properties>
</file>